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9D5267" w:rsidP="00834BB7">
            <w:r>
              <w:t>OŠ August Cesarec</w:t>
            </w:r>
          </w:p>
          <w:p w:rsidR="009D5267" w:rsidRDefault="009D5267" w:rsidP="00834BB7">
            <w:r>
              <w:t xml:space="preserve">Vladimira </w:t>
            </w:r>
            <w:r w:rsidR="001D36A7">
              <w:t>N</w:t>
            </w:r>
            <w:r>
              <w:t>azora 1</w:t>
            </w:r>
          </w:p>
          <w:p w:rsidR="009D5267" w:rsidRDefault="009D5267" w:rsidP="00834BB7">
            <w:proofErr w:type="spellStart"/>
            <w:r>
              <w:t>Špišić</w:t>
            </w:r>
            <w:proofErr w:type="spellEnd"/>
            <w:r>
              <w:t xml:space="preserve"> Bukovica</w:t>
            </w:r>
          </w:p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0C17EA">
            <w:r w:rsidRPr="009573D4">
              <w:t xml:space="preserve">Temeljem članka </w:t>
            </w:r>
            <w:r w:rsidR="009D5267">
              <w:t>90</w:t>
            </w:r>
            <w:r>
              <w:t>.</w:t>
            </w:r>
            <w:r w:rsidR="009D5267">
              <w:t xml:space="preserve"> Statuta Osnovne škole August Cesarec </w:t>
            </w:r>
            <w:proofErr w:type="spellStart"/>
            <w:r w:rsidR="009D5267">
              <w:t>Špišić</w:t>
            </w:r>
            <w:proofErr w:type="spellEnd"/>
            <w:r w:rsidR="009D5267">
              <w:t xml:space="preserve"> Bukovica,  ravnateljica Osnovne škole August Cesarec </w:t>
            </w:r>
            <w:proofErr w:type="spellStart"/>
            <w:r w:rsidR="009D5267">
              <w:t>Špišić</w:t>
            </w:r>
            <w:proofErr w:type="spellEnd"/>
            <w:r w:rsidR="009D5267">
              <w:t xml:space="preserve"> Bukovica 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pojedinih službi OŠ </w:t>
            </w:r>
            <w:r w:rsidR="009D5267">
              <w:t xml:space="preserve">August Cesarec </w:t>
            </w:r>
            <w:proofErr w:type="spellStart"/>
            <w:r w:rsidR="009D5267">
              <w:t>Špišić</w:t>
            </w:r>
            <w:proofErr w:type="spellEnd"/>
            <w:r w:rsidR="009D5267">
              <w:t xml:space="preserve"> Bukovica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 xml:space="preserve">Prihodi koje Škola naplaćuje su vlastiti prihodi od </w:t>
            </w:r>
            <w:r w:rsidR="00811387">
              <w:t>zakupa</w:t>
            </w:r>
            <w:r w:rsidR="00C94322">
              <w:t xml:space="preserve"> </w:t>
            </w:r>
            <w:r>
              <w:t>prostora</w:t>
            </w:r>
            <w:r w:rsidR="009D5267">
              <w:t>, stanarina</w:t>
            </w:r>
            <w:r w:rsidR="009C009D">
              <w:t xml:space="preserve"> i </w:t>
            </w:r>
            <w:r w:rsidR="009D5267">
              <w:t>participacije roditelja i učenika za školsku kuhinju i ostale potrebe.</w:t>
            </w:r>
          </w:p>
          <w:p w:rsidR="009C009D" w:rsidRDefault="009C009D" w:rsidP="00884D11"/>
          <w:p w:rsidR="009C009D" w:rsidRDefault="009C009D" w:rsidP="00884D11">
            <w:r>
              <w:t xml:space="preserve">Ako škola ugovori </w:t>
            </w:r>
            <w:r w:rsidR="00811387">
              <w:t>zakup</w:t>
            </w:r>
            <w:r>
              <w:t xml:space="preserve"> prostora</w:t>
            </w:r>
            <w:r w:rsidR="009D5267">
              <w:t xml:space="preserve"> u </w:t>
            </w:r>
            <w:r>
              <w:t>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  <w:r w:rsidR="009D5267">
                    <w:rPr>
                      <w:sz w:val="20"/>
                      <w:szCs w:val="20"/>
                    </w:rPr>
                    <w:t>ica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1D36A7" w:rsidP="00086A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dana nakon </w:t>
                  </w:r>
                  <w:r w:rsidR="00086A21">
                    <w:rPr>
                      <w:sz w:val="20"/>
                      <w:szCs w:val="20"/>
                    </w:rPr>
                    <w:t>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</w:t>
                  </w:r>
                  <w:bookmarkStart w:id="0" w:name="_GoBack"/>
                  <w:bookmarkEnd w:id="0"/>
                  <w:r>
                    <w:t>avnatelj</w:t>
                  </w:r>
                  <w:r w:rsidR="009D5267">
                    <w:t>ica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526EBB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236BC0" w:rsidRDefault="00555D93" w:rsidP="00555D93">
      <w:r>
        <w:t xml:space="preserve">Uvodi se redoviti sustav </w:t>
      </w:r>
      <w:r w:rsidR="00236BC0">
        <w:t xml:space="preserve">praćenja i </w:t>
      </w:r>
      <w:r>
        <w:t xml:space="preserve">opominjanja po osnovi </w:t>
      </w:r>
      <w:r w:rsidR="00236BC0">
        <w:t xml:space="preserve">nenaplaćenih </w:t>
      </w:r>
      <w:r w:rsidR="00E82EEB">
        <w:t>prihoda</w:t>
      </w:r>
      <w:r w:rsidR="00D062B7">
        <w:t xml:space="preserve"> koje određeni dužnik ima prema Školi</w:t>
      </w:r>
      <w:r w:rsidR="00236BC0">
        <w:t>.</w:t>
      </w:r>
    </w:p>
    <w:p w:rsidR="00B968F6" w:rsidRDefault="00236BC0" w:rsidP="00555D93">
      <w:r>
        <w:t xml:space="preserve">Prva mjera je </w:t>
      </w:r>
      <w:r w:rsidR="00B968F6">
        <w:t xml:space="preserve">upozoravanje </w:t>
      </w:r>
      <w:r>
        <w:t>usmeni</w:t>
      </w:r>
      <w:r w:rsidR="00B968F6">
        <w:t>m</w:t>
      </w:r>
      <w:r>
        <w:t xml:space="preserve"> kontakt</w:t>
      </w:r>
      <w:r w:rsidR="00B968F6">
        <w:t>om</w:t>
      </w:r>
      <w:r>
        <w:t xml:space="preserve">. </w:t>
      </w:r>
      <w:r w:rsidR="00B968F6">
        <w:t xml:space="preserve"> </w:t>
      </w:r>
      <w:r>
        <w:t>Ukoliko dužnik ne podmiri dugovanje u roku 15 dana od usmenog kontakta, šalje se prva pisana opomena.</w:t>
      </w:r>
    </w:p>
    <w:p w:rsidR="00555D93" w:rsidRDefault="00555D93" w:rsidP="00555D93">
      <w:r>
        <w:t xml:space="preserve">Tijekom narednih </w:t>
      </w:r>
      <w:r w:rsidR="00B968F6">
        <w:t>15</w:t>
      </w:r>
      <w:r>
        <w:t xml:space="preserve"> dana Računovodstvo nadzire naplatu prihoda po opomenama.</w:t>
      </w:r>
    </w:p>
    <w:p w:rsidR="00CC6BCD" w:rsidRDefault="00555D93" w:rsidP="00555D93">
      <w:r>
        <w:t xml:space="preserve">Nakon što u roku </w:t>
      </w:r>
      <w:r w:rsidR="006E5D6B">
        <w:t>15</w:t>
      </w:r>
      <w:r>
        <w:t xml:space="preserve"> dana nije plaćen dug za koji je poslana opomena,</w:t>
      </w:r>
      <w:r w:rsidR="006E5D6B">
        <w:t xml:space="preserve"> šalje se </w:t>
      </w:r>
      <w:r w:rsidR="00CC6BCD">
        <w:t xml:space="preserve">pisana </w:t>
      </w:r>
      <w:r w:rsidR="006E5D6B">
        <w:t xml:space="preserve">opomena pred pokretanje ovršnog postupka. </w:t>
      </w:r>
    </w:p>
    <w:p w:rsidR="006E5D6B" w:rsidRDefault="006E5D6B" w:rsidP="00555D93">
      <w:r>
        <w:t>Tijekom narednih 15 dana Računovodstvo nadzire naplatu prihoda po opomenama pred pokretanje ovršnog postupka.</w:t>
      </w:r>
    </w:p>
    <w:p w:rsidR="00555D93" w:rsidRDefault="006E5D6B" w:rsidP="00555D93">
      <w:r>
        <w:t xml:space="preserve">Nakon što </w:t>
      </w:r>
      <w:r w:rsidR="001D36A7">
        <w:t>su iscrpljene sve mjere naplate</w:t>
      </w:r>
      <w:r w:rsidR="00CC6BCD">
        <w:t>,</w:t>
      </w:r>
      <w:r w:rsidR="001D36A7">
        <w:t xml:space="preserve"> usmeni kontakt, prva pisana opomena, </w:t>
      </w:r>
      <w:r w:rsidR="00CC6BCD">
        <w:t xml:space="preserve">pisana </w:t>
      </w:r>
      <w:r w:rsidR="001D36A7">
        <w:t>opomena pred pokretanje ovršnog postupka</w:t>
      </w:r>
      <w:r w:rsidR="00811387">
        <w:t>,</w:t>
      </w:r>
      <w:r w:rsidR="001D36A7">
        <w:t xml:space="preserve"> a dugovanje i dalje nije podmireno,</w:t>
      </w:r>
      <w:r w:rsidR="00555D93">
        <w:t xml:space="preserve"> računovodstvo o tome obavještava ravnatelj</w:t>
      </w:r>
      <w:r w:rsidR="00CC6BCD">
        <w:t>a</w:t>
      </w:r>
      <w:r w:rsidR="00555D93">
        <w:t xml:space="preserve"> koj</w:t>
      </w:r>
      <w:r w:rsidR="00CC6BCD">
        <w:t>i</w:t>
      </w:r>
      <w:r w:rsidR="00555D93">
        <w:t xml:space="preserve"> donosi Odluku o prisilnoj naplati potraživanja te se pokreće ovršni postupak kod javnog bilježnika.</w:t>
      </w:r>
    </w:p>
    <w:p w:rsidR="00555D93" w:rsidRDefault="00555D93" w:rsidP="00555D93">
      <w:r>
        <w:t xml:space="preserve">Ovršni postupak se pokreće za dugovanja u visini većoj od </w:t>
      </w:r>
      <w:r w:rsidR="00A34F84">
        <w:t>1</w:t>
      </w:r>
      <w:r w:rsidR="006E5D6B">
        <w:t>.</w:t>
      </w:r>
      <w:r w:rsidR="00A34F84">
        <w:t>5</w:t>
      </w:r>
      <w:r>
        <w:t xml:space="preserve">00,00 kn po jednom </w:t>
      </w:r>
      <w:r w:rsidR="00C94322">
        <w:t>d</w:t>
      </w:r>
      <w:r>
        <w:t>užniku.</w:t>
      </w:r>
    </w:p>
    <w:p w:rsidR="006E5D6B" w:rsidRDefault="006E5D6B" w:rsidP="00555D93"/>
    <w:p w:rsidR="006E5D6B" w:rsidRDefault="006E5D6B" w:rsidP="006E5D6B">
      <w:pPr>
        <w:jc w:val="center"/>
      </w:pPr>
      <w:r>
        <w:t>Članak 4.</w:t>
      </w:r>
    </w:p>
    <w:p w:rsidR="00C94322" w:rsidRDefault="00C94322" w:rsidP="006E5D6B">
      <w:pPr>
        <w:jc w:val="center"/>
      </w:pPr>
    </w:p>
    <w:p w:rsidR="00C94322" w:rsidRDefault="00C94322" w:rsidP="00C94322">
      <w:r>
        <w:t>Ukoliko se utvrdi da su potraživanja nenaplativa zbog nast</w:t>
      </w:r>
      <w:r w:rsidR="00E21D55">
        <w:t>upanja</w:t>
      </w:r>
      <w:r>
        <w:t xml:space="preserve"> zastare s</w:t>
      </w:r>
      <w:r w:rsidR="00526EBB">
        <w:t>u</w:t>
      </w:r>
      <w:r>
        <w:t xml:space="preserve">kladno važećim zakonskim propisima, da potraživanja nemaju valjanu pravnu osnovu ili iz nekog drugog opravdanog razloga, potraživanja će se djelomično ili u potpunosti otpisati. Odluku o otpisu donosi ravnatelj škole. </w:t>
      </w:r>
    </w:p>
    <w:p w:rsidR="006E5D6B" w:rsidRDefault="006E5D6B" w:rsidP="00555D93"/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1D36A7" w:rsidRDefault="001D36A7" w:rsidP="00FB5C19"/>
    <w:p w:rsidR="001D36A7" w:rsidRDefault="001D36A7" w:rsidP="00FB5C19"/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322">
        <w:t>Ravnateljica:</w:t>
      </w:r>
    </w:p>
    <w:p w:rsidR="00C94322" w:rsidRDefault="00C94322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Novak Stanić</w:t>
      </w:r>
    </w:p>
    <w:p w:rsidR="00C94322" w:rsidRDefault="00C94322" w:rsidP="00FB5C19"/>
    <w:p w:rsidR="001D36A7" w:rsidRDefault="001D36A7" w:rsidP="00FB5C19"/>
    <w:p w:rsidR="001D36A7" w:rsidRDefault="001D36A7" w:rsidP="00FB5C19"/>
    <w:p w:rsidR="001D36A7" w:rsidRDefault="001D36A7" w:rsidP="00FB5C19"/>
    <w:p w:rsidR="00B87276" w:rsidRDefault="001D36A7" w:rsidP="00FB5C19">
      <w:r>
        <w:t xml:space="preserve">U </w:t>
      </w:r>
      <w:proofErr w:type="spellStart"/>
      <w:r>
        <w:t>Špišić</w:t>
      </w:r>
      <w:proofErr w:type="spellEnd"/>
      <w:r>
        <w:t xml:space="preserve"> Bukovici, </w:t>
      </w:r>
      <w:r w:rsidR="00F172F3">
        <w:t>23. 5.</w:t>
      </w:r>
      <w:r>
        <w:t xml:space="preserve"> 2016.</w:t>
      </w:r>
    </w:p>
    <w:p w:rsidR="00B87276" w:rsidRDefault="00B87276" w:rsidP="00FB5C19">
      <w:r>
        <w:t>KLASA:</w:t>
      </w:r>
      <w:r w:rsidR="00F172F3">
        <w:t xml:space="preserve"> 400-01/16-01/28</w:t>
      </w:r>
    </w:p>
    <w:p w:rsidR="00B87276" w:rsidRDefault="00B87276" w:rsidP="00FB5C19">
      <w:r>
        <w:t>URBROJ:</w:t>
      </w:r>
      <w:r w:rsidR="00F172F3">
        <w:t xml:space="preserve"> 2189-19-01-16-1</w:t>
      </w:r>
    </w:p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224"/>
    <w:rsid w:val="0004023B"/>
    <w:rsid w:val="000605D9"/>
    <w:rsid w:val="00086A21"/>
    <w:rsid w:val="000D44A7"/>
    <w:rsid w:val="001045C7"/>
    <w:rsid w:val="00136257"/>
    <w:rsid w:val="00143372"/>
    <w:rsid w:val="0018630A"/>
    <w:rsid w:val="001D36A7"/>
    <w:rsid w:val="00223549"/>
    <w:rsid w:val="00236BC0"/>
    <w:rsid w:val="003B0989"/>
    <w:rsid w:val="00417551"/>
    <w:rsid w:val="004301C8"/>
    <w:rsid w:val="00492722"/>
    <w:rsid w:val="004B1728"/>
    <w:rsid w:val="004C6509"/>
    <w:rsid w:val="00526EBB"/>
    <w:rsid w:val="00555D93"/>
    <w:rsid w:val="005A25BE"/>
    <w:rsid w:val="006034F6"/>
    <w:rsid w:val="00642FBD"/>
    <w:rsid w:val="00666E22"/>
    <w:rsid w:val="006E5D6B"/>
    <w:rsid w:val="00772224"/>
    <w:rsid w:val="007C3606"/>
    <w:rsid w:val="00811387"/>
    <w:rsid w:val="00834BB7"/>
    <w:rsid w:val="00884D11"/>
    <w:rsid w:val="009573D4"/>
    <w:rsid w:val="009A3478"/>
    <w:rsid w:val="009C009D"/>
    <w:rsid w:val="009C0E97"/>
    <w:rsid w:val="009D5267"/>
    <w:rsid w:val="00A34F84"/>
    <w:rsid w:val="00AE795B"/>
    <w:rsid w:val="00B87276"/>
    <w:rsid w:val="00B968F6"/>
    <w:rsid w:val="00BB0B2D"/>
    <w:rsid w:val="00C02765"/>
    <w:rsid w:val="00C20702"/>
    <w:rsid w:val="00C806D4"/>
    <w:rsid w:val="00C94322"/>
    <w:rsid w:val="00CC6BCD"/>
    <w:rsid w:val="00CD6FAB"/>
    <w:rsid w:val="00D062B7"/>
    <w:rsid w:val="00D23A6F"/>
    <w:rsid w:val="00D91008"/>
    <w:rsid w:val="00DA2048"/>
    <w:rsid w:val="00E21D55"/>
    <w:rsid w:val="00E25F2F"/>
    <w:rsid w:val="00E82EEB"/>
    <w:rsid w:val="00F172F3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25CC"/>
  <w15:docId w15:val="{32F4A3C9-6EED-46C3-B6B3-23C32D6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14</cp:revision>
  <cp:lastPrinted>2016-05-23T11:03:00Z</cp:lastPrinted>
  <dcterms:created xsi:type="dcterms:W3CDTF">2016-05-06T10:15:00Z</dcterms:created>
  <dcterms:modified xsi:type="dcterms:W3CDTF">2016-05-23T11:04:00Z</dcterms:modified>
</cp:coreProperties>
</file>